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5125" w:rsidRPr="000846EB" w:rsidRDefault="007B5125" w:rsidP="007B51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C82F46" w:rsidRPr="006E68B9" w:rsidTr="00C82F46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C82F46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C82F46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C82F46" w:rsidRPr="006E68B9" w:rsidRDefault="00C82F46" w:rsidP="00C8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7A2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класса основного общего образования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Захарова Ирина Васильевна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125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125" w:rsidRPr="000846EB" w:rsidRDefault="007B5125" w:rsidP="007B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7B5125" w:rsidRDefault="007B5125" w:rsidP="00E17C1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C82F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C82F4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122BCA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C82F46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C82F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</w:t>
      </w:r>
      <w:r w:rsidR="0079261C">
        <w:rPr>
          <w:rFonts w:ascii="Times New Roman" w:hAnsi="Times New Roman"/>
        </w:rPr>
        <w:t>лассы. Москва «Просвещение» 2015</w:t>
      </w:r>
      <w:r w:rsidRPr="00C87701">
        <w:rPr>
          <w:rFonts w:ascii="Times New Roman" w:hAnsi="Times New Roman"/>
        </w:rPr>
        <w:t>г.</w:t>
      </w:r>
    </w:p>
    <w:p w:rsidR="00501DF9" w:rsidRPr="00C87701" w:rsidRDefault="00501DF9" w:rsidP="00C82F46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C82F46">
      <w:pPr>
        <w:pStyle w:val="a8"/>
        <w:numPr>
          <w:ilvl w:val="0"/>
          <w:numId w:val="3"/>
        </w:numPr>
        <w:jc w:val="both"/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C82F46">
      <w:pPr>
        <w:pStyle w:val="a8"/>
        <w:numPr>
          <w:ilvl w:val="0"/>
          <w:numId w:val="3"/>
        </w:numPr>
        <w:jc w:val="both"/>
      </w:pPr>
      <w:r w:rsidRPr="00C87701">
        <w:t>Обучать основам базовых видов двигательной деятельности;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Формировать умение адекватно оценивать собственные физические возможности;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C82F46">
      <w:pPr>
        <w:pStyle w:val="a8"/>
        <w:numPr>
          <w:ilvl w:val="0"/>
          <w:numId w:val="3"/>
        </w:numPr>
        <w:jc w:val="both"/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C82F46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C82F4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C82F4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C82F46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C82F46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C82F46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C82F46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C82F4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C82F4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C82F4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C82F4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C82F4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C82F4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C82F4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C82F4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C82F46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C82F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C82F46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C82F46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C82F46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C82F46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C82F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C82F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C82F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C82F4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C82F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C8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C82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122BCA" w:rsidP="00C8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C82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C82F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C82F46" w:rsidP="00C82F46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Учи.Ру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d"/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122BCA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8</w:t>
      </w: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B6584F">
        <w:trPr>
          <w:trHeight w:val="994"/>
        </w:trPr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B6584F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B6584F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>
              <w:rPr>
                <w:sz w:val="24"/>
                <w:szCs w:val="24"/>
              </w:rPr>
              <w:t xml:space="preserve">бег </w:t>
            </w:r>
            <w:r w:rsidRPr="00991C11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FF1AA8" w:rsidRDefault="00122BCA" w:rsidP="00122BCA">
            <w:pPr>
              <w:autoSpaceDE w:val="0"/>
              <w:autoSpaceDN w:val="0"/>
              <w:adjustRightInd w:val="0"/>
            </w:pPr>
            <w:r w:rsidRPr="00FF1AA8">
              <w:t>Бег в равномерном темпе</w:t>
            </w:r>
          </w:p>
          <w:p w:rsidR="00A059FD" w:rsidRPr="00991C11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>
              <w:rPr>
                <w:sz w:val="24"/>
                <w:szCs w:val="24"/>
              </w:rPr>
              <w:t>я. Бег в равномерном темпе до 15-20</w:t>
            </w:r>
            <w:r w:rsidRPr="00991C11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Бег от 500 до 1500 метров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</w:t>
            </w:r>
            <w:r w:rsidR="0027038B">
              <w:rPr>
                <w:sz w:val="24"/>
                <w:szCs w:val="24"/>
              </w:rPr>
              <w:t>риями по 10 – 20 сек. Бег от 500 до 15</w:t>
            </w:r>
            <w:r w:rsidRPr="00991C11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Учет бега 1500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Специа</w:t>
            </w:r>
            <w:r w:rsidR="0027038B">
              <w:rPr>
                <w:sz w:val="24"/>
                <w:szCs w:val="24"/>
              </w:rPr>
              <w:t>льные беговые упражнения. Бег 15</w:t>
            </w:r>
            <w:r w:rsidRPr="00991C11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991C11">
              <w:rPr>
                <w:sz w:val="24"/>
                <w:szCs w:val="24"/>
              </w:rPr>
              <w:t>соскок</w:t>
            </w:r>
            <w:proofErr w:type="gramEnd"/>
            <w:r w:rsidRPr="00991C1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</w:t>
            </w:r>
            <w:proofErr w:type="gramStart"/>
            <w:r w:rsidRPr="00991C11">
              <w:rPr>
                <w:sz w:val="24"/>
                <w:szCs w:val="24"/>
              </w:rPr>
              <w:t xml:space="preserve">.. </w:t>
            </w:r>
            <w:proofErr w:type="gramEnd"/>
            <w:r w:rsidRPr="00991C11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91C11">
              <w:rPr>
                <w:sz w:val="24"/>
                <w:szCs w:val="24"/>
              </w:rPr>
              <w:t>из</w:t>
            </w:r>
            <w:proofErr w:type="gramEnd"/>
            <w:r w:rsidRPr="00991C11">
              <w:rPr>
                <w:sz w:val="24"/>
                <w:szCs w:val="24"/>
              </w:rPr>
              <w:t xml:space="preserve"> – </w:t>
            </w:r>
            <w:proofErr w:type="gramStart"/>
            <w:r w:rsidRPr="00991C11">
              <w:rPr>
                <w:sz w:val="24"/>
                <w:szCs w:val="24"/>
              </w:rPr>
              <w:t>за</w:t>
            </w:r>
            <w:proofErr w:type="gramEnd"/>
            <w:r w:rsidRPr="00991C1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91C11">
              <w:rPr>
                <w:sz w:val="24"/>
                <w:szCs w:val="24"/>
              </w:rPr>
              <w:t>положения</w:t>
            </w:r>
            <w:proofErr w:type="gramEnd"/>
            <w:r w:rsidRPr="00991C1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B6584F" w:rsidRDefault="00501DF9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411842" w:rsidRPr="00991C11" w:rsidRDefault="00411842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80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1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93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15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991C11">
              <w:rPr>
                <w:sz w:val="24"/>
                <w:szCs w:val="24"/>
              </w:rPr>
              <w:t>прямой</w:t>
            </w:r>
            <w:proofErr w:type="gramEnd"/>
            <w:r w:rsidRPr="00991C11">
              <w:rPr>
                <w:sz w:val="24"/>
                <w:szCs w:val="24"/>
              </w:rPr>
              <w:t>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71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Pr="00B6584F" w:rsidRDefault="00D70A5C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275627" w:rsidRPr="00991C11" w:rsidRDefault="00275627" w:rsidP="00B6584F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8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558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5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72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55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4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6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на время  3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B6584F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5"/>
        <w:gridCol w:w="702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824201" w:rsidRPr="00991C11" w:rsidRDefault="00824201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</w:t>
            </w:r>
            <w:proofErr w:type="gramStart"/>
            <w:r w:rsidRPr="00991C11">
              <w:rPr>
                <w:sz w:val="24"/>
                <w:szCs w:val="24"/>
              </w:rPr>
              <w:t xml:space="preserve"> Т</w:t>
            </w:r>
            <w:proofErr w:type="gramEnd"/>
            <w:r w:rsidRPr="00991C1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91C11">
              <w:rPr>
                <w:sz w:val="24"/>
                <w:szCs w:val="24"/>
              </w:rPr>
              <w:t xml:space="preserve">( </w:t>
            </w:r>
            <w:proofErr w:type="gramEnd"/>
            <w:r w:rsidRPr="00991C11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93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1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302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91C11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991C1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991C11">
              <w:rPr>
                <w:sz w:val="24"/>
                <w:szCs w:val="24"/>
              </w:rPr>
              <w:t>–п</w:t>
            </w:r>
            <w:proofErr w:type="gramEnd"/>
            <w:r w:rsidRPr="00991C11">
              <w:rPr>
                <w:sz w:val="24"/>
                <w:szCs w:val="24"/>
              </w:rPr>
              <w:t>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trHeight w:val="645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73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69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764E87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764E87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91C1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991C11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2021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991C11" w:rsidRDefault="000C09E6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764E87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764E87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764E87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023DA"/>
    <w:rsid w:val="00036C1C"/>
    <w:rsid w:val="000C09E6"/>
    <w:rsid w:val="00122BCA"/>
    <w:rsid w:val="00127D2C"/>
    <w:rsid w:val="00187C30"/>
    <w:rsid w:val="00220508"/>
    <w:rsid w:val="0024608B"/>
    <w:rsid w:val="002471A0"/>
    <w:rsid w:val="0027038B"/>
    <w:rsid w:val="00275627"/>
    <w:rsid w:val="002A52BF"/>
    <w:rsid w:val="002B75D9"/>
    <w:rsid w:val="002F0368"/>
    <w:rsid w:val="00351262"/>
    <w:rsid w:val="00373C45"/>
    <w:rsid w:val="00401A4A"/>
    <w:rsid w:val="00411842"/>
    <w:rsid w:val="004374F1"/>
    <w:rsid w:val="0046119D"/>
    <w:rsid w:val="004C0CCC"/>
    <w:rsid w:val="004F4D12"/>
    <w:rsid w:val="00501DF9"/>
    <w:rsid w:val="005226FD"/>
    <w:rsid w:val="006205ED"/>
    <w:rsid w:val="00694130"/>
    <w:rsid w:val="00764E87"/>
    <w:rsid w:val="00773F5E"/>
    <w:rsid w:val="0079261C"/>
    <w:rsid w:val="007B5125"/>
    <w:rsid w:val="007F7A2C"/>
    <w:rsid w:val="00824201"/>
    <w:rsid w:val="00854AC5"/>
    <w:rsid w:val="008D1E8B"/>
    <w:rsid w:val="008F3D6B"/>
    <w:rsid w:val="00900500"/>
    <w:rsid w:val="009612AE"/>
    <w:rsid w:val="00967E15"/>
    <w:rsid w:val="00991C11"/>
    <w:rsid w:val="009C0257"/>
    <w:rsid w:val="00A059FD"/>
    <w:rsid w:val="00A40230"/>
    <w:rsid w:val="00A76812"/>
    <w:rsid w:val="00AB0BC7"/>
    <w:rsid w:val="00B13576"/>
    <w:rsid w:val="00B6584F"/>
    <w:rsid w:val="00BC2C2D"/>
    <w:rsid w:val="00BF00F6"/>
    <w:rsid w:val="00C55A29"/>
    <w:rsid w:val="00C82F46"/>
    <w:rsid w:val="00D3342F"/>
    <w:rsid w:val="00D42A12"/>
    <w:rsid w:val="00D70A5C"/>
    <w:rsid w:val="00E06CFC"/>
    <w:rsid w:val="00E17C17"/>
    <w:rsid w:val="00E66D87"/>
    <w:rsid w:val="00F056DB"/>
    <w:rsid w:val="00F377CF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1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78EC-6F1B-43D7-8EAF-8FC319D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6678</Words>
  <Characters>38070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29</cp:revision>
  <dcterms:created xsi:type="dcterms:W3CDTF">2016-09-12T08:08:00Z</dcterms:created>
  <dcterms:modified xsi:type="dcterms:W3CDTF">2022-10-02T10:07:00Z</dcterms:modified>
</cp:coreProperties>
</file>